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F9F89" w14:textId="77777777" w:rsidR="0095599D" w:rsidRPr="0095599D" w:rsidRDefault="0095599D" w:rsidP="0095599D">
      <w:pPr>
        <w:widowControl/>
        <w:shd w:val="clear" w:color="auto" w:fill="FFFFFF"/>
        <w:spacing w:after="225" w:line="480" w:lineRule="atLeast"/>
        <w:outlineLvl w:val="0"/>
        <w:rPr>
          <w:rFonts w:ascii="PingFangSC-Medium" w:eastAsia="宋体" w:hAnsi="PingFangSC-Medium" w:cs="宋体"/>
          <w:b/>
          <w:bCs/>
          <w:color w:val="333333"/>
          <w:kern w:val="36"/>
          <w:sz w:val="33"/>
          <w:szCs w:val="33"/>
        </w:rPr>
      </w:pPr>
      <w:r w:rsidRPr="0095599D">
        <w:rPr>
          <w:rFonts w:ascii="PingFangSC-Medium" w:eastAsia="宋体" w:hAnsi="PingFangSC-Medium" w:cs="宋体"/>
          <w:b/>
          <w:bCs/>
          <w:color w:val="333333"/>
          <w:kern w:val="36"/>
          <w:sz w:val="33"/>
          <w:szCs w:val="33"/>
        </w:rPr>
        <w:t>更新：玻璃行业景气持续，价格处在十年高点，公司为浮法玻璃龙头，</w:t>
      </w:r>
      <w:r w:rsidRPr="0095599D">
        <w:rPr>
          <w:rFonts w:ascii="PingFangSC-Medium" w:eastAsia="宋体" w:hAnsi="PingFangSC-Medium" w:cs="宋体"/>
          <w:b/>
          <w:bCs/>
          <w:color w:val="333333"/>
          <w:kern w:val="36"/>
          <w:sz w:val="33"/>
          <w:szCs w:val="33"/>
        </w:rPr>
        <w:t>Q3</w:t>
      </w:r>
      <w:r w:rsidRPr="0095599D">
        <w:rPr>
          <w:rFonts w:ascii="PingFangSC-Medium" w:eastAsia="宋体" w:hAnsi="PingFangSC-Medium" w:cs="宋体"/>
          <w:b/>
          <w:bCs/>
          <w:color w:val="333333"/>
          <w:kern w:val="36"/>
          <w:sz w:val="33"/>
          <w:szCs w:val="33"/>
        </w:rPr>
        <w:t>盈利创新高，</w:t>
      </w:r>
      <w:r w:rsidRPr="0095599D">
        <w:rPr>
          <w:rFonts w:ascii="PingFangSC-Medium" w:eastAsia="宋体" w:hAnsi="PingFangSC-Medium" w:cs="宋体"/>
          <w:b/>
          <w:bCs/>
          <w:color w:val="333333"/>
          <w:kern w:val="36"/>
          <w:sz w:val="33"/>
          <w:szCs w:val="33"/>
        </w:rPr>
        <w:t xml:space="preserve"> </w:t>
      </w:r>
      <w:r w:rsidRPr="0095599D">
        <w:rPr>
          <w:rFonts w:ascii="PingFangSC-Medium" w:eastAsia="宋体" w:hAnsi="PingFangSC-Medium" w:cs="宋体"/>
          <w:b/>
          <w:bCs/>
          <w:color w:val="333333"/>
          <w:kern w:val="36"/>
          <w:sz w:val="33"/>
          <w:szCs w:val="33"/>
        </w:rPr>
        <w:t>抓住市场机遇加码光伏玻璃及药用玻璃行业</w:t>
      </w:r>
    </w:p>
    <w:p w14:paraId="7B581B64" w14:textId="056EAD66" w:rsidR="0095599D" w:rsidRPr="0095599D" w:rsidRDefault="0095599D" w:rsidP="0095599D">
      <w:pPr>
        <w:widowControl/>
        <w:shd w:val="clear" w:color="auto" w:fill="FFFFFF"/>
        <w:rPr>
          <w:rFonts w:ascii="微软雅黑" w:eastAsia="微软雅黑" w:hAnsi="微软雅黑" w:cs="宋体"/>
          <w:color w:val="3D7DFF"/>
          <w:kern w:val="0"/>
          <w:szCs w:val="21"/>
        </w:rPr>
      </w:pPr>
      <w:r w:rsidRPr="0095599D">
        <w:rPr>
          <w:rFonts w:ascii="微软雅黑" w:eastAsia="微软雅黑" w:hAnsi="微软雅黑" w:cs="宋体"/>
          <w:color w:val="333333"/>
          <w:kern w:val="0"/>
          <w:szCs w:val="21"/>
        </w:rPr>
        <w:fldChar w:fldCharType="begin"/>
      </w:r>
      <w:r w:rsidRPr="0095599D">
        <w:rPr>
          <w:rFonts w:ascii="微软雅黑" w:eastAsia="微软雅黑" w:hAnsi="微软雅黑" w:cs="宋体"/>
          <w:color w:val="333333"/>
          <w:kern w:val="0"/>
          <w:szCs w:val="21"/>
        </w:rPr>
        <w:instrText xml:space="preserve"> HYPERLINK "https://m-robo.datayes.com/mall/goods/detail/column?columnId=209" </w:instrText>
      </w:r>
      <w:r w:rsidRPr="0095599D">
        <w:rPr>
          <w:rFonts w:ascii="微软雅黑" w:eastAsia="微软雅黑" w:hAnsi="微软雅黑" w:cs="宋体"/>
          <w:color w:val="333333"/>
          <w:kern w:val="0"/>
          <w:szCs w:val="21"/>
        </w:rPr>
        <w:fldChar w:fldCharType="separate"/>
      </w:r>
      <w:r w:rsidRPr="0095599D">
        <w:rPr>
          <w:rFonts w:ascii="微软雅黑" w:eastAsia="微软雅黑" w:hAnsi="微软雅黑" w:cs="宋体"/>
          <w:noProof/>
          <w:color w:val="3D7DFF"/>
          <w:kern w:val="0"/>
          <w:szCs w:val="21"/>
        </w:rPr>
        <w:drawing>
          <wp:inline distT="0" distB="0" distL="0" distR="0" wp14:anchorId="789F5E11" wp14:editId="18440B35">
            <wp:extent cx="1143000" cy="1143000"/>
            <wp:effectExtent l="0" t="0" r="0" b="0"/>
            <wp:docPr id="2" name="图片 2" descr="专栏头像">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专栏头像">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7E1FB63F" w14:textId="77777777" w:rsidR="0095599D" w:rsidRPr="0095599D" w:rsidRDefault="0095599D" w:rsidP="0095599D">
      <w:pPr>
        <w:widowControl/>
        <w:shd w:val="clear" w:color="auto" w:fill="FFFFFF"/>
        <w:spacing w:before="45"/>
        <w:rPr>
          <w:rFonts w:ascii="宋体" w:eastAsia="宋体" w:hAnsi="宋体" w:cs="宋体" w:hint="eastAsia"/>
          <w:b/>
          <w:bCs/>
          <w:color w:val="333333"/>
          <w:kern w:val="0"/>
          <w:sz w:val="24"/>
          <w:szCs w:val="24"/>
        </w:rPr>
      </w:pPr>
      <w:r w:rsidRPr="0095599D">
        <w:rPr>
          <w:rFonts w:ascii="微软雅黑" w:eastAsia="微软雅黑" w:hAnsi="微软雅黑" w:cs="宋体" w:hint="eastAsia"/>
          <w:b/>
          <w:bCs/>
          <w:color w:val="333333"/>
          <w:kern w:val="0"/>
          <w:szCs w:val="21"/>
        </w:rPr>
        <w:t>王牌脱水研报（体验专用，限指定用户）</w:t>
      </w:r>
    </w:p>
    <w:p w14:paraId="219F96E2" w14:textId="77777777" w:rsidR="0095599D" w:rsidRPr="0095599D" w:rsidRDefault="0095599D" w:rsidP="0095599D">
      <w:pPr>
        <w:widowControl/>
        <w:shd w:val="clear" w:color="auto" w:fill="FFFFFF"/>
        <w:spacing w:before="60"/>
        <w:rPr>
          <w:rFonts w:ascii="微软雅黑" w:eastAsia="微软雅黑" w:hAnsi="微软雅黑" w:cs="宋体" w:hint="eastAsia"/>
          <w:color w:val="A5A5A5"/>
          <w:kern w:val="0"/>
          <w:sz w:val="18"/>
          <w:szCs w:val="18"/>
        </w:rPr>
      </w:pPr>
      <w:r w:rsidRPr="0095599D">
        <w:rPr>
          <w:rFonts w:ascii="微软雅黑" w:eastAsia="微软雅黑" w:hAnsi="微软雅黑" w:cs="宋体" w:hint="eastAsia"/>
          <w:color w:val="A5A5A5"/>
          <w:kern w:val="0"/>
          <w:sz w:val="18"/>
          <w:szCs w:val="18"/>
        </w:rPr>
        <w:t>2020-12-25</w:t>
      </w:r>
    </w:p>
    <w:p w14:paraId="026C29A8" w14:textId="77777777" w:rsidR="0095599D" w:rsidRPr="0095599D" w:rsidRDefault="0095599D" w:rsidP="0095599D">
      <w:pPr>
        <w:widowControl/>
        <w:shd w:val="clear" w:color="auto" w:fill="FFFFFF"/>
        <w:rPr>
          <w:rFonts w:ascii="微软雅黑" w:eastAsia="微软雅黑" w:hAnsi="微软雅黑" w:cs="宋体" w:hint="eastAsia"/>
          <w:color w:val="333333"/>
          <w:kern w:val="0"/>
          <w:szCs w:val="21"/>
        </w:rPr>
      </w:pPr>
      <w:r w:rsidRPr="0095599D">
        <w:rPr>
          <w:rFonts w:ascii="微软雅黑" w:eastAsia="微软雅黑" w:hAnsi="微软雅黑" w:cs="宋体"/>
          <w:color w:val="333333"/>
          <w:kern w:val="0"/>
          <w:szCs w:val="21"/>
        </w:rPr>
        <w:fldChar w:fldCharType="end"/>
      </w:r>
      <w:r w:rsidRPr="0095599D">
        <w:rPr>
          <w:rFonts w:ascii="微软雅黑" w:eastAsia="微软雅黑" w:hAnsi="微软雅黑" w:cs="宋体" w:hint="eastAsia"/>
          <w:color w:val="FFFFFF"/>
          <w:kern w:val="0"/>
          <w:szCs w:val="21"/>
          <w:bdr w:val="none" w:sz="0" w:space="0" w:color="auto" w:frame="1"/>
          <w:shd w:val="clear" w:color="auto" w:fill="3D7DFF"/>
        </w:rPr>
        <w:t>+关注</w:t>
      </w:r>
    </w:p>
    <w:p w14:paraId="0A86C570" w14:textId="77777777" w:rsidR="0095599D" w:rsidRPr="0095599D" w:rsidRDefault="0095599D" w:rsidP="0095599D">
      <w:pPr>
        <w:widowControl/>
        <w:shd w:val="clear" w:color="auto" w:fill="FFFFFF"/>
        <w:outlineLvl w:val="2"/>
        <w:rPr>
          <w:rFonts w:ascii="PingFangSC-Medium" w:eastAsia="微软雅黑" w:hAnsi="PingFangSC-Medium" w:cs="宋体" w:hint="eastAsia"/>
          <w:b/>
          <w:bCs/>
          <w:color w:val="333333"/>
          <w:kern w:val="0"/>
          <w:sz w:val="27"/>
          <w:szCs w:val="27"/>
        </w:rPr>
      </w:pPr>
      <w:r w:rsidRPr="0095599D">
        <w:rPr>
          <w:rFonts w:ascii="PingFangSC-Medium" w:eastAsia="微软雅黑" w:hAnsi="PingFangSC-Medium" w:cs="宋体"/>
          <w:b/>
          <w:bCs/>
          <w:color w:val="333333"/>
          <w:kern w:val="0"/>
          <w:sz w:val="27"/>
          <w:szCs w:val="27"/>
        </w:rPr>
        <w:t>线索主要标的</w:t>
      </w:r>
    </w:p>
    <w:p w14:paraId="6F50FE07" w14:textId="77777777" w:rsidR="0095599D" w:rsidRPr="0095599D" w:rsidRDefault="0095599D" w:rsidP="0095599D">
      <w:pPr>
        <w:widowControl/>
        <w:shd w:val="clear" w:color="auto" w:fill="FFFFFF"/>
        <w:rPr>
          <w:rFonts w:ascii="微软雅黑" w:eastAsia="微软雅黑" w:hAnsi="微软雅黑" w:cs="宋体"/>
          <w:color w:val="333333"/>
          <w:kern w:val="0"/>
          <w:sz w:val="18"/>
          <w:szCs w:val="18"/>
        </w:rPr>
      </w:pPr>
      <w:r w:rsidRPr="0095599D">
        <w:rPr>
          <w:rFonts w:ascii="微软雅黑" w:eastAsia="微软雅黑" w:hAnsi="微软雅黑" w:cs="宋体" w:hint="eastAsia"/>
          <w:color w:val="FF4439"/>
          <w:kern w:val="0"/>
          <w:sz w:val="18"/>
          <w:szCs w:val="18"/>
          <w:shd w:val="clear" w:color="auto" w:fill="FFEBEA"/>
        </w:rPr>
        <w:t>正面</w:t>
      </w:r>
    </w:p>
    <w:p w14:paraId="112E470D" w14:textId="766A4BE6" w:rsidR="0095599D" w:rsidRPr="0095599D" w:rsidRDefault="0095599D" w:rsidP="0095599D">
      <w:pPr>
        <w:widowControl/>
        <w:shd w:val="clear" w:color="auto" w:fill="FFFFFF"/>
        <w:spacing w:line="240" w:lineRule="atLeast"/>
        <w:rPr>
          <w:rFonts w:ascii="微软雅黑" w:eastAsia="微软雅黑" w:hAnsi="微软雅黑" w:cs="宋体" w:hint="eastAsia"/>
          <w:color w:val="333333"/>
          <w:kern w:val="0"/>
          <w:sz w:val="18"/>
          <w:szCs w:val="18"/>
        </w:rPr>
      </w:pPr>
      <w:r w:rsidRPr="0095599D">
        <w:rPr>
          <w:rFonts w:ascii="微软雅黑" w:eastAsia="微软雅黑" w:hAnsi="微软雅黑" w:cs="宋体" w:hint="eastAsia"/>
          <w:color w:val="333333"/>
          <w:kern w:val="0"/>
          <w:sz w:val="18"/>
          <w:szCs w:val="18"/>
        </w:rPr>
        <w:t>旗滨集团</w:t>
      </w:r>
      <w:hyperlink r:id="rId6" w:history="1">
        <w:r w:rsidRPr="0095599D">
          <w:rPr>
            <w:rFonts w:ascii="微软雅黑" w:eastAsia="微软雅黑" w:hAnsi="微软雅黑" w:cs="宋体" w:hint="eastAsia"/>
            <w:color w:val="3D7DFF"/>
            <w:kern w:val="0"/>
            <w:sz w:val="18"/>
            <w:szCs w:val="18"/>
          </w:rPr>
          <w:t> </w:t>
        </w:r>
        <w:r w:rsidRPr="0095599D">
          <w:rPr>
            <w:rFonts w:ascii="微软雅黑" w:eastAsia="微软雅黑" w:hAnsi="微软雅黑" w:cs="宋体" w:hint="eastAsia"/>
            <w:color w:val="FF4439"/>
            <w:kern w:val="0"/>
            <w:sz w:val="18"/>
            <w:szCs w:val="18"/>
          </w:rPr>
          <w:t>+2.59%</w:t>
        </w:r>
      </w:hyperlink>
    </w:p>
    <w:p w14:paraId="3768734C" w14:textId="77777777" w:rsidR="0095599D" w:rsidRPr="0095599D" w:rsidRDefault="0095599D" w:rsidP="0095599D">
      <w:pPr>
        <w:widowControl/>
        <w:shd w:val="clear" w:color="auto" w:fill="F3F7FC"/>
        <w:spacing w:line="390" w:lineRule="atLeast"/>
        <w:rPr>
          <w:rFonts w:ascii="微软雅黑" w:eastAsia="微软雅黑" w:hAnsi="微软雅黑" w:cs="宋体" w:hint="eastAsia"/>
          <w:color w:val="2B2B2B"/>
          <w:kern w:val="0"/>
          <w:szCs w:val="21"/>
        </w:rPr>
      </w:pPr>
      <w:r w:rsidRPr="0095599D">
        <w:rPr>
          <w:rFonts w:ascii="微软雅黑" w:eastAsia="微软雅黑" w:hAnsi="微软雅黑" w:cs="宋体" w:hint="eastAsia"/>
          <w:b/>
          <w:bCs/>
          <w:color w:val="2B2B2B"/>
          <w:kern w:val="0"/>
          <w:szCs w:val="21"/>
        </w:rPr>
        <w:t>线索摘要：</w:t>
      </w:r>
      <w:r w:rsidRPr="0095599D">
        <w:rPr>
          <w:rFonts w:ascii="微软雅黑" w:eastAsia="微软雅黑" w:hAnsi="微软雅黑" w:cs="宋体" w:hint="eastAsia"/>
          <w:color w:val="2B2B2B"/>
          <w:kern w:val="0"/>
          <w:szCs w:val="21"/>
        </w:rPr>
        <w:t>1、行业现状：建筑玻璃价格有望延续高位，浮法玻璃价格迎来新一轮上涨 2、公司简介：浮法玻璃龙头，产业链延伸多点开花 3、投资亮点：进一步延伸玻璃产业链，员工持股增加新的动能 4、盈利预测：目标价高于现价34%</w:t>
      </w:r>
    </w:p>
    <w:p w14:paraId="3D1BFF94"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一、行业现状：建筑玻璃价格有望延续高位，浮法玻璃价格迎来新一轮上涨</w:t>
      </w:r>
    </w:p>
    <w:p w14:paraId="7628A9DA"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1、建筑玻璃价格有望延续高位，2021年业绩韧性强产能置换政策保证行业总产能将不再扩大。传统的平板玻璃行业面临能耗大、污染严重、产能过剩等问题，2015年供给侧改革提出后，政策端对行业的主要引导方向主要表现为三个方面，即淘汰低端产能、提高行业集中度以及控制新增产能增长。国务院和工信部先后提出，到2020年平板玻璃产量排名前10家企业的生产集中度要达到60%左右（根据卓创资讯，到2019年底行业产能集中度CR10已达到55.64%），严禁备案和新建扩大产能的平板玻璃建设项目，对于确有必要新建产能的必须实施减</w:t>
      </w:r>
      <w:r w:rsidRPr="0095599D">
        <w:rPr>
          <w:rFonts w:ascii="微软雅黑" w:eastAsia="微软雅黑" w:hAnsi="微软雅黑" w:cs="宋体" w:hint="eastAsia"/>
          <w:color w:val="333333"/>
          <w:kern w:val="0"/>
          <w:sz w:val="24"/>
          <w:szCs w:val="24"/>
        </w:rPr>
        <w:lastRenderedPageBreak/>
        <w:t>量或等量置换。在严控新增和总量不增的政策调控下，未来浮法玻璃行业总产能有望呈现逐年稳定缩减的趋势。 </w:t>
      </w:r>
    </w:p>
    <w:p w14:paraId="11090F47"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2、僵尸产能（占理论总产能的7.7%）有望彻底清退，潜在供给丧失。今年10月工信部在《水泥玻璃行业产能置换实施办法（修订稿）》的征求意见中提出明年开始累计停产两年以上的产线将不得用于产能置换，而根据卓创资讯的统计，到10月底全国浮法玻璃生产线共299条，其中246条在产，停产的53条中有30条处于正常冷修状态，剩余23条产线如果停产时间较长且产能指标还未转让的话明年将彻底退出市场，这些产线占比行业总产能23/299=7.7%，因此未来行业的总产能有望继续收缩，同时集中度也可进一步提升。</w:t>
      </w:r>
    </w:p>
    <w:p w14:paraId="239BCCAB"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3、12月以来浮法玻璃价格迎来新一轮上涨，2021年价格有望延续高位运行。进入12月以来，厂商库存逐步下降至历史低位，下游冬季赶工需求依然旺盛，同时华南部分浮法线转产光伏使行业供给边际收缩预期增强，多方积极因素催化下各地厂商开启全面涨价，行业呈现出“淡季不淡”的趋势，根据卓创资讯到12月中旬全国浮法玻璃平均价格（含税）已超过100元/重箱。我们认为在地产竣工延续性需求以及光伏转产带来的供给收缩等因素推动下，2021年全年的玻璃价格中枢依然有望维持当前的高位水平。</w:t>
      </w:r>
    </w:p>
    <w:p w14:paraId="2B07869A"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二、公司简介：浮法玻璃龙头，产业链延伸多点开花</w:t>
      </w:r>
    </w:p>
    <w:p w14:paraId="5AC38A8D" w14:textId="77777777" w:rsidR="0095599D" w:rsidRPr="0095599D" w:rsidRDefault="0095599D" w:rsidP="0095599D">
      <w:pPr>
        <w:widowControl/>
        <w:shd w:val="clear" w:color="auto" w:fill="FFFFFF"/>
        <w:spacing w:line="420" w:lineRule="atLeast"/>
        <w:rPr>
          <w:rFonts w:ascii="微软雅黑" w:eastAsia="微软雅黑" w:hAnsi="微软雅黑" w:cs="宋体" w:hint="eastAsia"/>
          <w:color w:val="333333"/>
          <w:kern w:val="0"/>
          <w:sz w:val="24"/>
          <w:szCs w:val="24"/>
        </w:rPr>
      </w:pPr>
      <w:hyperlink r:id="rId7" w:tgtFrame="_blank" w:history="1">
        <w:r w:rsidRPr="0095599D">
          <w:rPr>
            <w:rFonts w:ascii="微软雅黑" w:eastAsia="微软雅黑" w:hAnsi="微软雅黑" w:cs="宋体" w:hint="eastAsia"/>
            <w:color w:val="3D7DFF"/>
            <w:kern w:val="0"/>
            <w:sz w:val="24"/>
            <w:szCs w:val="24"/>
          </w:rPr>
          <w:t>旗滨集团</w:t>
        </w:r>
      </w:hyperlink>
      <w:r w:rsidRPr="0095599D">
        <w:rPr>
          <w:rFonts w:ascii="微软雅黑" w:eastAsia="微软雅黑" w:hAnsi="微软雅黑" w:cs="宋体" w:hint="eastAsia"/>
          <w:color w:val="333333"/>
          <w:kern w:val="0"/>
          <w:sz w:val="24"/>
          <w:szCs w:val="24"/>
        </w:rPr>
        <w:t>系浮法玻璃龙头企业，深耕玻璃行业多年，在规模、成本、布局及资源方面积累了深厚的优势，在浮法玻璃高景气周期中有望充分彰显弹性。此外，2016年起，公司逐渐布局下游玻璃深加工行业，目前已陆续布局节能玻璃、电子玻璃、光伏玻璃、医用玻璃等高附加值行业，实现产业链延伸，进一步支撑公司长期成长。</w:t>
      </w:r>
    </w:p>
    <w:p w14:paraId="1AA71D70"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Q3盈利能力大幅提升，净利润创历史新高。三季度公司实现净利润7.1亿元，环比增长105.8%，同比增长73.64%，创历史新高。毛利率42.61%，环比增加15.44pcts，同比增加11.54pcts；净利率25.67%，环比增加11.82pcts，同比增加9.09pcts。盈利能力大幅提升主要受益于玻璃行业高景气的延续。二季度内玻璃价格实现触底反弹，库存登顶后持续下降。三季度进入玻璃需求旺季，涨势更盛，价格创十年来新高，高价区出厂价已超2000元/吨。 </w:t>
      </w:r>
    </w:p>
    <w:p w14:paraId="18211FD7" w14:textId="1BA9EE7C"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noProof/>
        </w:rPr>
        <w:drawing>
          <wp:inline distT="0" distB="0" distL="0" distR="0" wp14:anchorId="14E8B049" wp14:editId="676EAB2E">
            <wp:extent cx="48387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14:paraId="49CF3FE4"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三、投资亮点：进一步延伸玻璃产业链，员工持股增加新的动能 </w:t>
      </w:r>
    </w:p>
    <w:p w14:paraId="2ED2DDEE" w14:textId="77777777" w:rsidR="0095599D" w:rsidRPr="0095599D" w:rsidRDefault="0095599D" w:rsidP="0095599D">
      <w:pPr>
        <w:widowControl/>
        <w:shd w:val="clear" w:color="auto" w:fill="FFFFFF"/>
        <w:spacing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1、投资光伏玻璃、药用玻璃项目，进一步延伸玻璃产业链。1）10.3亿元投资湖南省资兴市1200t/d光伏组件高透基板材料生产线。建设期预计为1年，该项目含1条1200t/d一窑六线高透基片生产线及配套光伏组件高透基板材料加工线，光伏组件高透基板材料加工线包含6条1200mm宽和2条1300mm宽加工线。2）13.7亿元投资绍兴市柯桥开发区1200t/d光伏高透背板材料及深加工项目。建设期预计为1年，该项目为满足市场对</w:t>
      </w:r>
      <w:hyperlink r:id="rId9" w:tgtFrame="_blank" w:history="1">
        <w:r w:rsidRPr="0095599D">
          <w:rPr>
            <w:rFonts w:ascii="微软雅黑" w:eastAsia="微软雅黑" w:hAnsi="微软雅黑" w:cs="宋体" w:hint="eastAsia"/>
            <w:color w:val="3D7DFF"/>
            <w:kern w:val="0"/>
            <w:sz w:val="24"/>
            <w:szCs w:val="24"/>
          </w:rPr>
          <w:t>太阳能</w:t>
        </w:r>
      </w:hyperlink>
      <w:r w:rsidRPr="0095599D">
        <w:rPr>
          <w:rFonts w:ascii="微软雅黑" w:eastAsia="微软雅黑" w:hAnsi="微软雅黑" w:cs="宋体" w:hint="eastAsia"/>
          <w:color w:val="333333"/>
          <w:kern w:val="0"/>
          <w:sz w:val="24"/>
          <w:szCs w:val="24"/>
        </w:rPr>
        <w:t>光伏高透背板材料的需求，发挥规模与管理、技术与成本的优势，加快拓展光伏玻璃市场布局，提升</w:t>
      </w:r>
      <w:hyperlink r:id="rId10" w:tgtFrame="_blank" w:history="1">
        <w:r w:rsidRPr="0095599D">
          <w:rPr>
            <w:rFonts w:ascii="微软雅黑" w:eastAsia="微软雅黑" w:hAnsi="微软雅黑" w:cs="宋体" w:hint="eastAsia"/>
            <w:color w:val="3D7DFF"/>
            <w:kern w:val="0"/>
            <w:sz w:val="24"/>
            <w:szCs w:val="24"/>
          </w:rPr>
          <w:t>旗滨集团</w:t>
        </w:r>
      </w:hyperlink>
      <w:r w:rsidRPr="0095599D">
        <w:rPr>
          <w:rFonts w:ascii="微软雅黑" w:eastAsia="微软雅黑" w:hAnsi="微软雅黑" w:cs="宋体" w:hint="eastAsia"/>
          <w:color w:val="333333"/>
          <w:kern w:val="0"/>
          <w:sz w:val="24"/>
          <w:szCs w:val="24"/>
        </w:rPr>
        <w:t>市场份额和竞争力；3）4.7亿元投资中性硼硅药用玻璃及制瓶项目。拟建设两条25t/d中性硼硅药用玻璃及深加工生产线，产品将在耐水性、耐酸碱性、抗冲击等多项重要指标方面实现国内领先水平，并期望能够与国际产品比肩。公司积极拓展玻璃产业新领域，助力医药玻璃产业发展。</w:t>
      </w:r>
    </w:p>
    <w:p w14:paraId="6A98AD9A"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2、第二期员工持股计划公布，规模再加大，彰显公司发展信心。公司中长期发展计划拟于19年至24年滚动实施6期员工持股计划，各期员工持股计划互相独立。9月21日公布第二期员工持股计划草案，参加对象包括公司主任级以上管理人员、核心技术人员以及重要员工，总人数不超过510人，持股计划规模不超过2451.80万股，较第一期员工持股计划规模更大，考核业绩要求包括以2016-2018 年营业收入平均值为基数，19/20 年营业收入平均增长率不低于10%，2020年净资产收益率不低于同行业对标企业80 分位值水平，员工持股持续为公司发展增加新的动能。</w:t>
      </w:r>
    </w:p>
    <w:p w14:paraId="7E48EB59"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四、盈利预测：目标价高于现价34% </w:t>
      </w:r>
    </w:p>
    <w:p w14:paraId="4E799F94" w14:textId="77777777" w:rsidR="0095599D" w:rsidRPr="0095599D" w:rsidRDefault="0095599D" w:rsidP="0095599D">
      <w:pPr>
        <w:widowControl/>
        <w:shd w:val="clear" w:color="auto" w:fill="FFFFFF"/>
        <w:spacing w:line="420" w:lineRule="atLeast"/>
        <w:rPr>
          <w:rFonts w:ascii="微软雅黑" w:eastAsia="微软雅黑" w:hAnsi="微软雅黑" w:cs="宋体" w:hint="eastAsia"/>
          <w:color w:val="333333"/>
          <w:kern w:val="0"/>
          <w:sz w:val="24"/>
          <w:szCs w:val="24"/>
        </w:rPr>
      </w:pPr>
      <w:hyperlink r:id="rId11" w:tgtFrame="_blank" w:history="1">
        <w:r w:rsidRPr="0095599D">
          <w:rPr>
            <w:rFonts w:ascii="微软雅黑" w:eastAsia="微软雅黑" w:hAnsi="微软雅黑" w:cs="宋体" w:hint="eastAsia"/>
            <w:color w:val="3D7DFF"/>
            <w:kern w:val="0"/>
            <w:sz w:val="24"/>
            <w:szCs w:val="24"/>
          </w:rPr>
          <w:t>东方证券</w:t>
        </w:r>
      </w:hyperlink>
      <w:r w:rsidRPr="0095599D">
        <w:rPr>
          <w:rFonts w:ascii="微软雅黑" w:eastAsia="微软雅黑" w:hAnsi="微软雅黑" w:cs="宋体" w:hint="eastAsia"/>
          <w:color w:val="333333"/>
          <w:kern w:val="0"/>
          <w:sz w:val="24"/>
          <w:szCs w:val="24"/>
        </w:rPr>
        <w:t>：预计20-22年EPS0.74/1.16/1.65元（原EPS0.60/0.75/0.84元），上调原片价格假设并增加光伏玻璃业务。参考可比公司给予光伏玻璃/电子玻璃/原片及加工业务27/20/12X PE，对应目标价18.13元，维持“买入”评级。</w:t>
      </w:r>
    </w:p>
    <w:p w14:paraId="2AEBE07C" w14:textId="77777777" w:rsidR="0095599D" w:rsidRPr="0095599D" w:rsidRDefault="0095599D" w:rsidP="0095599D">
      <w:pPr>
        <w:widowControl/>
        <w:shd w:val="clear" w:color="auto" w:fill="FFFFFF"/>
        <w:spacing w:after="270"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风险提示：地产投资大幅下滑、原料成本快速提升、光伏玻璃价格大幅下滑。</w:t>
      </w:r>
    </w:p>
    <w:p w14:paraId="360FC838" w14:textId="77777777" w:rsidR="0095599D" w:rsidRPr="0095599D" w:rsidRDefault="0095599D" w:rsidP="0095599D">
      <w:pPr>
        <w:widowControl/>
        <w:shd w:val="clear" w:color="auto" w:fill="FFFFFF"/>
        <w:spacing w:line="420" w:lineRule="atLeast"/>
        <w:rPr>
          <w:rFonts w:ascii="微软雅黑" w:eastAsia="微软雅黑" w:hAnsi="微软雅黑" w:cs="宋体" w:hint="eastAsia"/>
          <w:color w:val="333333"/>
          <w:kern w:val="0"/>
          <w:sz w:val="24"/>
          <w:szCs w:val="24"/>
        </w:rPr>
      </w:pPr>
      <w:r w:rsidRPr="0095599D">
        <w:rPr>
          <w:rFonts w:ascii="微软雅黑" w:eastAsia="微软雅黑" w:hAnsi="微软雅黑" w:cs="宋体" w:hint="eastAsia"/>
          <w:color w:val="333333"/>
          <w:kern w:val="0"/>
          <w:sz w:val="24"/>
          <w:szCs w:val="24"/>
        </w:rPr>
        <w:t>说明：</w:t>
      </w:r>
      <w:hyperlink r:id="rId12" w:tgtFrame="_blank" w:history="1">
        <w:r w:rsidRPr="0095599D">
          <w:rPr>
            <w:rFonts w:ascii="微软雅黑" w:eastAsia="微软雅黑" w:hAnsi="微软雅黑" w:cs="宋体" w:hint="eastAsia"/>
            <w:color w:val="3D7DFF"/>
            <w:kern w:val="0"/>
            <w:sz w:val="24"/>
            <w:szCs w:val="24"/>
          </w:rPr>
          <w:t>旗滨集团</w:t>
        </w:r>
      </w:hyperlink>
      <w:r w:rsidRPr="0095599D">
        <w:rPr>
          <w:rFonts w:ascii="微软雅黑" w:eastAsia="微软雅黑" w:hAnsi="微软雅黑" w:cs="宋体" w:hint="eastAsia"/>
          <w:color w:val="333333"/>
          <w:kern w:val="0"/>
          <w:sz w:val="24"/>
          <w:szCs w:val="24"/>
        </w:rPr>
        <w:t>在2019年12月10日、2020年11月9日被王牌脱水研究报告覆盖过，其中，11月9日给的目标价为14.62元/股。</w:t>
      </w:r>
    </w:p>
    <w:p w14:paraId="76E1C605" w14:textId="77777777" w:rsidR="00D25CD3" w:rsidRPr="0095599D" w:rsidRDefault="00D25CD3"/>
    <w:sectPr w:rsidR="00D25CD3" w:rsidRPr="00955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SC-Medium">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9D"/>
    <w:rsid w:val="0095599D"/>
    <w:rsid w:val="00D2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CA89"/>
  <w15:chartTrackingRefBased/>
  <w15:docId w15:val="{DC822ED0-75BE-4ECB-A6A0-500E9FF5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5599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9559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599D"/>
    <w:rPr>
      <w:rFonts w:ascii="宋体" w:eastAsia="宋体" w:hAnsi="宋体" w:cs="宋体"/>
      <w:b/>
      <w:bCs/>
      <w:kern w:val="36"/>
      <w:sz w:val="48"/>
      <w:szCs w:val="48"/>
    </w:rPr>
  </w:style>
  <w:style w:type="character" w:customStyle="1" w:styleId="30">
    <w:name w:val="标题 3 字符"/>
    <w:basedOn w:val="a0"/>
    <w:link w:val="3"/>
    <w:uiPriority w:val="9"/>
    <w:rsid w:val="0095599D"/>
    <w:rPr>
      <w:rFonts w:ascii="宋体" w:eastAsia="宋体" w:hAnsi="宋体" w:cs="宋体"/>
      <w:b/>
      <w:bCs/>
      <w:kern w:val="0"/>
      <w:sz w:val="27"/>
      <w:szCs w:val="27"/>
    </w:rPr>
  </w:style>
  <w:style w:type="character" w:styleId="a3">
    <w:name w:val="Hyperlink"/>
    <w:basedOn w:val="a0"/>
    <w:uiPriority w:val="99"/>
    <w:semiHidden/>
    <w:unhideWhenUsed/>
    <w:rsid w:val="0095599D"/>
    <w:rPr>
      <w:color w:val="0000FF"/>
      <w:u w:val="single"/>
    </w:rPr>
  </w:style>
  <w:style w:type="paragraph" w:customStyle="1" w:styleId="column-name">
    <w:name w:val="column-name"/>
    <w:basedOn w:val="a"/>
    <w:rsid w:val="0095599D"/>
    <w:pPr>
      <w:widowControl/>
      <w:spacing w:before="100" w:beforeAutospacing="1" w:after="100" w:afterAutospacing="1"/>
      <w:jc w:val="left"/>
    </w:pPr>
    <w:rPr>
      <w:rFonts w:ascii="宋体" w:eastAsia="宋体" w:hAnsi="宋体" w:cs="宋体"/>
      <w:kern w:val="0"/>
      <w:sz w:val="24"/>
      <w:szCs w:val="24"/>
    </w:rPr>
  </w:style>
  <w:style w:type="paragraph" w:customStyle="1" w:styleId="column-desc">
    <w:name w:val="column-desc"/>
    <w:basedOn w:val="a"/>
    <w:rsid w:val="0095599D"/>
    <w:pPr>
      <w:widowControl/>
      <w:spacing w:before="100" w:beforeAutospacing="1" w:after="100" w:afterAutospacing="1"/>
      <w:jc w:val="left"/>
    </w:pPr>
    <w:rPr>
      <w:rFonts w:ascii="宋体" w:eastAsia="宋体" w:hAnsi="宋体" w:cs="宋体"/>
      <w:kern w:val="0"/>
      <w:sz w:val="24"/>
      <w:szCs w:val="24"/>
    </w:rPr>
  </w:style>
  <w:style w:type="character" w:customStyle="1" w:styleId="column-btn-attention">
    <w:name w:val="column-btn-attention"/>
    <w:basedOn w:val="a0"/>
    <w:rsid w:val="0095599D"/>
  </w:style>
  <w:style w:type="character" w:customStyle="1" w:styleId="label">
    <w:name w:val="label"/>
    <w:basedOn w:val="a0"/>
    <w:rsid w:val="0095599D"/>
  </w:style>
  <w:style w:type="character" w:customStyle="1" w:styleId="target-name">
    <w:name w:val="target-name"/>
    <w:basedOn w:val="a0"/>
    <w:rsid w:val="0095599D"/>
  </w:style>
  <w:style w:type="paragraph" w:styleId="a4">
    <w:name w:val="Normal (Web)"/>
    <w:basedOn w:val="a"/>
    <w:uiPriority w:val="99"/>
    <w:semiHidden/>
    <w:unhideWhenUsed/>
    <w:rsid w:val="009559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818505">
      <w:bodyDiv w:val="1"/>
      <w:marLeft w:val="0"/>
      <w:marRight w:val="0"/>
      <w:marTop w:val="0"/>
      <w:marBottom w:val="0"/>
      <w:divBdr>
        <w:top w:val="none" w:sz="0" w:space="0" w:color="auto"/>
        <w:left w:val="none" w:sz="0" w:space="0" w:color="auto"/>
        <w:bottom w:val="none" w:sz="0" w:space="0" w:color="auto"/>
        <w:right w:val="none" w:sz="0" w:space="0" w:color="auto"/>
      </w:divBdr>
      <w:divsChild>
        <w:div w:id="421226905">
          <w:marLeft w:val="0"/>
          <w:marRight w:val="0"/>
          <w:marTop w:val="225"/>
          <w:marBottom w:val="210"/>
          <w:divBdr>
            <w:top w:val="none" w:sz="0" w:space="0" w:color="auto"/>
            <w:left w:val="none" w:sz="0" w:space="0" w:color="auto"/>
            <w:bottom w:val="none" w:sz="0" w:space="0" w:color="auto"/>
            <w:right w:val="none" w:sz="0" w:space="0" w:color="auto"/>
          </w:divBdr>
        </w:div>
        <w:div w:id="896479615">
          <w:marLeft w:val="0"/>
          <w:marRight w:val="0"/>
          <w:marTop w:val="225"/>
          <w:marBottom w:val="225"/>
          <w:divBdr>
            <w:top w:val="none" w:sz="0" w:space="0" w:color="auto"/>
            <w:left w:val="none" w:sz="0" w:space="0" w:color="auto"/>
            <w:bottom w:val="none" w:sz="0" w:space="0" w:color="auto"/>
            <w:right w:val="none" w:sz="0" w:space="0" w:color="auto"/>
          </w:divBdr>
        </w:div>
        <w:div w:id="1801876017">
          <w:marLeft w:val="0"/>
          <w:marRight w:val="0"/>
          <w:marTop w:val="0"/>
          <w:marBottom w:val="300"/>
          <w:divBdr>
            <w:top w:val="none" w:sz="0" w:space="0" w:color="auto"/>
            <w:left w:val="none" w:sz="0" w:space="0" w:color="auto"/>
            <w:bottom w:val="none" w:sz="0" w:space="0" w:color="auto"/>
            <w:right w:val="none" w:sz="0" w:space="0" w:color="auto"/>
          </w:divBdr>
        </w:div>
        <w:div w:id="2001541771">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s-mobile.wmcloud.com/company/companyMarketDetail?ticker=601636&amp;stockName=%E6%97%97%E6%BB%A8%E9%9B%86%E5%9B%A2" TargetMode="External"/><Relationship Id="rId12" Type="http://schemas.openxmlformats.org/officeDocument/2006/relationships/hyperlink" Target="https://rs-mobile.wmcloud.com/company/companyMarketDetail?ticker=601636&amp;stockName=%E6%97%97%E6%BB%A8%E9%9B%86%E5%9B%A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mobile.wmcloud.com/company/companyMarketDetail?ticker=601636&amp;stockName=%E6%97%97%E6%BB%A8%E9%9B%86%E5%9B%A2" TargetMode="External"/><Relationship Id="rId11" Type="http://schemas.openxmlformats.org/officeDocument/2006/relationships/hyperlink" Target="https://rs-mobile.wmcloud.com/company/companyMarketDetail?ticker=600958&amp;stockName=%E4%B8%9C%E6%96%B9%E8%AF%81%E5%88%B8" TargetMode="External"/><Relationship Id="rId5" Type="http://schemas.openxmlformats.org/officeDocument/2006/relationships/image" Target="media/image1.png"/><Relationship Id="rId10" Type="http://schemas.openxmlformats.org/officeDocument/2006/relationships/hyperlink" Target="https://rs-mobile.wmcloud.com/company/companyMarketDetail?ticker=601636&amp;stockName=%E6%97%97%E6%BB%A8%E9%9B%86%E5%9B%A2" TargetMode="External"/><Relationship Id="rId4" Type="http://schemas.openxmlformats.org/officeDocument/2006/relationships/hyperlink" Target="https://m-robo.datayes.com/mall/goods/detail/column?columnId=209" TargetMode="External"/><Relationship Id="rId9" Type="http://schemas.openxmlformats.org/officeDocument/2006/relationships/hyperlink" Target="https://rs-mobile.wmcloud.com/company/companyMarketDetail?ticker=000591&amp;stockName=%E5%A4%AA%E9%98%B3%E8%83%B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2020-12-27T12:15:00Z</dcterms:created>
  <dcterms:modified xsi:type="dcterms:W3CDTF">2020-12-27T12:18:00Z</dcterms:modified>
</cp:coreProperties>
</file>