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7CBF" w:rsidRPr="00AE7CBF" w:rsidRDefault="00AE7CBF" w:rsidP="00AE7CBF">
      <w:pPr>
        <w:widowControl/>
        <w:wordWrap w:val="0"/>
        <w:spacing w:before="450" w:after="450"/>
        <w:jc w:val="left"/>
        <w:outlineLvl w:val="0"/>
        <w:rPr>
          <w:rFonts w:ascii="Helvetica" w:eastAsia="宋体" w:hAnsi="Helvetica" w:cs="Helvetica"/>
          <w:b/>
          <w:bCs/>
          <w:color w:val="33353C"/>
          <w:kern w:val="36"/>
          <w:sz w:val="42"/>
          <w:szCs w:val="42"/>
        </w:rPr>
      </w:pPr>
      <w:r w:rsidRPr="00AE7CBF">
        <w:rPr>
          <w:rFonts w:ascii="Helvetica" w:eastAsia="宋体" w:hAnsi="Helvetica" w:cs="Helvetica"/>
          <w:b/>
          <w:bCs/>
          <w:color w:val="33353C"/>
          <w:kern w:val="36"/>
          <w:sz w:val="42"/>
          <w:szCs w:val="42"/>
        </w:rPr>
        <w:t>持有华夏幸福</w:t>
      </w:r>
      <w:r w:rsidRPr="00AE7CBF">
        <w:rPr>
          <w:rFonts w:ascii="Helvetica" w:eastAsia="宋体" w:hAnsi="Helvetica" w:cs="Helvetica"/>
          <w:b/>
          <w:bCs/>
          <w:color w:val="33353C"/>
          <w:kern w:val="36"/>
          <w:sz w:val="42"/>
          <w:szCs w:val="42"/>
        </w:rPr>
        <w:t>5</w:t>
      </w:r>
      <w:r w:rsidRPr="00AE7CBF">
        <w:rPr>
          <w:rFonts w:ascii="Helvetica" w:eastAsia="宋体" w:hAnsi="Helvetica" w:cs="Helvetica"/>
          <w:b/>
          <w:bCs/>
          <w:color w:val="33353C"/>
          <w:kern w:val="36"/>
          <w:sz w:val="42"/>
          <w:szCs w:val="42"/>
        </w:rPr>
        <w:t>年是怎样的体验</w:t>
      </w:r>
    </w:p>
    <w:p w:rsidR="00AE7CBF" w:rsidRPr="00AE7CBF" w:rsidRDefault="00AE7CBF" w:rsidP="00AE7CBF">
      <w:pPr>
        <w:widowControl/>
        <w:jc w:val="left"/>
        <w:rPr>
          <w:rFonts w:ascii="Helvetica" w:eastAsia="宋体" w:hAnsi="Helvetica" w:cs="Helvetica"/>
          <w:color w:val="33353C"/>
          <w:kern w:val="0"/>
          <w:sz w:val="27"/>
          <w:szCs w:val="27"/>
        </w:rPr>
      </w:pPr>
      <w:r w:rsidRPr="00AE7CBF">
        <w:rPr>
          <w:rFonts w:ascii="Helvetica" w:eastAsia="宋体" w:hAnsi="Helvetica" w:cs="Helvetica"/>
          <w:noProof/>
          <w:color w:val="33353C"/>
          <w:kern w:val="0"/>
          <w:sz w:val="27"/>
          <w:szCs w:val="27"/>
        </w:rPr>
        <w:drawing>
          <wp:inline distT="0" distB="0" distL="0" distR="0">
            <wp:extent cx="5274310" cy="21094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CBF" w:rsidRPr="00AE7CBF" w:rsidRDefault="00AE7CBF" w:rsidP="00AE7CBF">
      <w:pPr>
        <w:widowControl/>
        <w:spacing w:before="375" w:after="375"/>
        <w:jc w:val="left"/>
        <w:rPr>
          <w:rFonts w:ascii="Helvetica" w:eastAsia="宋体" w:hAnsi="Helvetica" w:cs="Helvetica"/>
          <w:color w:val="33353C"/>
          <w:kern w:val="0"/>
          <w:sz w:val="27"/>
          <w:szCs w:val="27"/>
        </w:rPr>
      </w:pPr>
      <w:hyperlink r:id="rId5" w:tgtFrame="_blank" w:history="1">
        <w:r w:rsidRPr="00AE7CBF">
          <w:rPr>
            <w:rFonts w:ascii="Helvetica" w:eastAsia="宋体" w:hAnsi="Helvetica" w:cs="Helvetica"/>
            <w:color w:val="0066CC"/>
            <w:kern w:val="0"/>
            <w:sz w:val="27"/>
            <w:szCs w:val="27"/>
            <w:u w:val="single"/>
          </w:rPr>
          <w:t>@</w:t>
        </w:r>
        <w:r w:rsidRPr="00AE7CBF">
          <w:rPr>
            <w:rFonts w:ascii="Helvetica" w:eastAsia="宋体" w:hAnsi="Helvetica" w:cs="Helvetica"/>
            <w:color w:val="0066CC"/>
            <w:kern w:val="0"/>
            <w:sz w:val="27"/>
            <w:szCs w:val="27"/>
            <w:u w:val="single"/>
          </w:rPr>
          <w:t>今日话题</w:t>
        </w:r>
      </w:hyperlink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 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作为产业新城的龙头华夏幸福，在房地产板块的人气一直很高。华夏幸福从固安到京津冀再到全国布局，近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5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年来一直保持着超高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roe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的发展。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18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年迎来了平安的入股，目前平安为华夏第二大股东，更是强强联合。目前，华夏幸福从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“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以房养园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”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到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“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以园促房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”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，未来的看点主要为产业发展的服务收入。但产业新城的发展模式需要公司去垫付大量资金，一直也是投资者顾忌的地方。前不久，发行了最高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12%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利率的永续债，更是引发人对其高成本融资的担心。采用分红立即买入，来看看持有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5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年的华夏幸福带给我们带来怎样的体验！</w:t>
      </w:r>
    </w:p>
    <w:p w:rsidR="00AE7CBF" w:rsidRPr="00AE7CBF" w:rsidRDefault="00AE7CBF" w:rsidP="00AE7CBF">
      <w:pPr>
        <w:widowControl/>
        <w:spacing w:before="375" w:after="375"/>
        <w:jc w:val="left"/>
        <w:rPr>
          <w:rFonts w:ascii="Helvetica" w:eastAsia="宋体" w:hAnsi="Helvetica" w:cs="Helvetica"/>
          <w:color w:val="33353C"/>
          <w:kern w:val="0"/>
          <w:sz w:val="27"/>
          <w:szCs w:val="27"/>
        </w:rPr>
      </w:pP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我们从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14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年开始观察，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13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年的年报公布时间是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14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4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月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17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日，当天华夏幸福的价格为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28.89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元，分红是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0.15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元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/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股，股息率为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0.52%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，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roe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为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44.30%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，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pb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为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5.7.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假设我们买入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10000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股，成本为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288900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元；分红除权时间为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14</w:t>
      </w:r>
      <w:bookmarkStart w:id="0" w:name="_GoBack"/>
      <w:bookmarkEnd w:id="0"/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5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月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21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日，除权日华夏幸福收盘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lastRenderedPageBreak/>
        <w:t>价格为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23.95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，分红的钱收盘价买入，此时我们有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10000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股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+1500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元。</w:t>
      </w:r>
    </w:p>
    <w:p w:rsidR="00AE7CBF" w:rsidRPr="00AE7CBF" w:rsidRDefault="00AE7CBF" w:rsidP="00AE7CBF">
      <w:pPr>
        <w:widowControl/>
        <w:spacing w:before="375" w:after="375"/>
        <w:jc w:val="left"/>
        <w:rPr>
          <w:rFonts w:ascii="Helvetica" w:eastAsia="宋体" w:hAnsi="Helvetica" w:cs="Helvetica"/>
          <w:color w:val="33353C"/>
          <w:kern w:val="0"/>
          <w:sz w:val="27"/>
          <w:szCs w:val="27"/>
        </w:rPr>
      </w:pP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到了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15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3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月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21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日，华夏幸福公布了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14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年的年报，此时华夏幸福价格为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50.77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，股息率为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1.58%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，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roe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为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42.83%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，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pb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为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6.9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，此时我们的价值为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10000*50.77+1500=509200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元，年化值为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76.25%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。分红除权日为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5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月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4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日，此时华夏幸福收盘价为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23.95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元，分红买入，此时我们有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20200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股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+2762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元。按照此方法类推，我们可以看到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2014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4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月到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2019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4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月的收益情况及各指标的变化，详情见表格。</w:t>
      </w:r>
    </w:p>
    <w:p w:rsidR="00AE7CBF" w:rsidRPr="00AE7CBF" w:rsidRDefault="00AE7CBF" w:rsidP="00AE7CBF">
      <w:pPr>
        <w:widowControl/>
        <w:spacing w:before="375" w:after="375"/>
        <w:jc w:val="left"/>
        <w:rPr>
          <w:rFonts w:ascii="Helvetica" w:eastAsia="宋体" w:hAnsi="Helvetica" w:cs="Helvetica"/>
          <w:color w:val="33353C"/>
          <w:kern w:val="0"/>
          <w:sz w:val="27"/>
          <w:szCs w:val="27"/>
        </w:rPr>
      </w:pPr>
      <w:r w:rsidRPr="00AE7CBF">
        <w:rPr>
          <w:rFonts w:ascii="Helvetica" w:eastAsia="宋体" w:hAnsi="Helvetica" w:cs="Helvetica"/>
          <w:noProof/>
          <w:color w:val="33353C"/>
          <w:kern w:val="0"/>
          <w:sz w:val="27"/>
          <w:szCs w:val="27"/>
        </w:rPr>
        <w:drawing>
          <wp:inline distT="0" distB="0" distL="0" distR="0">
            <wp:extent cx="5274310" cy="16459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CBF" w:rsidRPr="00AE7CBF" w:rsidRDefault="00AE7CBF" w:rsidP="00AE7CBF">
      <w:pPr>
        <w:widowControl/>
        <w:spacing w:before="375" w:after="375"/>
        <w:jc w:val="left"/>
        <w:rPr>
          <w:rFonts w:ascii="Helvetica" w:eastAsia="宋体" w:hAnsi="Helvetica" w:cs="Helvetica"/>
          <w:color w:val="33353C"/>
          <w:kern w:val="0"/>
          <w:sz w:val="27"/>
          <w:szCs w:val="27"/>
        </w:rPr>
      </w:pP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从表格我们可以看出，华夏幸福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14-19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年相关指标的变化为：</w:t>
      </w:r>
    </w:p>
    <w:p w:rsidR="00AE7CBF" w:rsidRPr="00AE7CBF" w:rsidRDefault="00AE7CBF" w:rsidP="00AE7CBF">
      <w:pPr>
        <w:widowControl/>
        <w:spacing w:before="375" w:after="375"/>
        <w:jc w:val="left"/>
        <w:rPr>
          <w:rFonts w:ascii="Helvetica" w:eastAsia="宋体" w:hAnsi="Helvetica" w:cs="Helvetica"/>
          <w:color w:val="33353C"/>
          <w:kern w:val="0"/>
          <w:sz w:val="27"/>
          <w:szCs w:val="27"/>
        </w:rPr>
      </w:pP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roe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从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44.30%-42.83%-42.07%-29.54%-31.40%-35.19%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；</w:t>
      </w:r>
    </w:p>
    <w:p w:rsidR="00AE7CBF" w:rsidRPr="00AE7CBF" w:rsidRDefault="00AE7CBF" w:rsidP="00AE7CBF">
      <w:pPr>
        <w:widowControl/>
        <w:spacing w:before="375" w:after="375"/>
        <w:jc w:val="left"/>
        <w:rPr>
          <w:rFonts w:ascii="Helvetica" w:eastAsia="宋体" w:hAnsi="Helvetica" w:cs="Helvetica"/>
          <w:color w:val="33353C"/>
          <w:kern w:val="0"/>
          <w:sz w:val="27"/>
          <w:szCs w:val="27"/>
        </w:rPr>
      </w:pP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pb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从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5.7 -6.9 -4.7 -3.3 -3.5 -2.8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；</w:t>
      </w:r>
    </w:p>
    <w:p w:rsidR="00AE7CBF" w:rsidRPr="00AE7CBF" w:rsidRDefault="00AE7CBF" w:rsidP="00AE7CBF">
      <w:pPr>
        <w:widowControl/>
        <w:spacing w:before="375" w:after="375"/>
        <w:jc w:val="left"/>
        <w:rPr>
          <w:rFonts w:ascii="Helvetica" w:eastAsia="宋体" w:hAnsi="Helvetica" w:cs="Helvetica"/>
          <w:color w:val="33353C"/>
          <w:kern w:val="0"/>
          <w:sz w:val="27"/>
          <w:szCs w:val="27"/>
        </w:rPr>
      </w:pP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PE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从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14.1 -19.0 -13.3 -12.3 -11.6 -8.4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；</w:t>
      </w:r>
    </w:p>
    <w:p w:rsidR="00AE7CBF" w:rsidRPr="00AE7CBF" w:rsidRDefault="00AE7CBF" w:rsidP="00AE7CBF">
      <w:pPr>
        <w:widowControl/>
        <w:spacing w:before="375" w:after="375"/>
        <w:jc w:val="left"/>
        <w:rPr>
          <w:rFonts w:ascii="Helvetica" w:eastAsia="宋体" w:hAnsi="Helvetica" w:cs="Helvetica"/>
          <w:color w:val="33353C"/>
          <w:kern w:val="0"/>
          <w:sz w:val="27"/>
          <w:szCs w:val="27"/>
        </w:rPr>
      </w:pP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股息率从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0.52%-1.58%-2.24%-2.42%-2.74%-3.76%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；</w:t>
      </w:r>
    </w:p>
    <w:p w:rsidR="00AE7CBF" w:rsidRPr="00AE7CBF" w:rsidRDefault="00AE7CBF" w:rsidP="00AE7CBF">
      <w:pPr>
        <w:widowControl/>
        <w:spacing w:before="375" w:after="375"/>
        <w:jc w:val="left"/>
        <w:rPr>
          <w:rFonts w:ascii="Helvetica" w:eastAsia="宋体" w:hAnsi="Helvetica" w:cs="Helvetica"/>
          <w:color w:val="33353C"/>
          <w:kern w:val="0"/>
          <w:sz w:val="27"/>
          <w:szCs w:val="27"/>
        </w:rPr>
      </w:pP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年化值为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76.25%-30.26%-25.22%-24.50%-19.24%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；</w:t>
      </w:r>
    </w:p>
    <w:p w:rsidR="00AE7CBF" w:rsidRPr="00AE7CBF" w:rsidRDefault="00AE7CBF" w:rsidP="00AE7CBF">
      <w:pPr>
        <w:widowControl/>
        <w:spacing w:before="375" w:after="375"/>
        <w:jc w:val="left"/>
        <w:rPr>
          <w:rFonts w:ascii="Helvetica" w:eastAsia="宋体" w:hAnsi="Helvetica" w:cs="Helvetica"/>
          <w:color w:val="33353C"/>
          <w:kern w:val="0"/>
          <w:sz w:val="27"/>
          <w:szCs w:val="27"/>
        </w:rPr>
      </w:pPr>
      <w:r w:rsidRPr="00AE7CBF">
        <w:rPr>
          <w:rFonts w:ascii="Helvetica" w:eastAsia="宋体" w:hAnsi="Helvetica" w:cs="Helvetica"/>
          <w:noProof/>
          <w:color w:val="33353C"/>
          <w:kern w:val="0"/>
          <w:sz w:val="27"/>
          <w:szCs w:val="27"/>
        </w:rPr>
        <w:drawing>
          <wp:inline distT="0" distB="0" distL="0" distR="0">
            <wp:extent cx="5274310" cy="28848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CBF" w:rsidRPr="00AE7CBF" w:rsidRDefault="00AE7CBF" w:rsidP="00AE7CBF">
      <w:pPr>
        <w:widowControl/>
        <w:spacing w:before="375" w:after="375"/>
        <w:jc w:val="left"/>
        <w:rPr>
          <w:rFonts w:ascii="Helvetica" w:eastAsia="宋体" w:hAnsi="Helvetica" w:cs="Helvetica"/>
          <w:color w:val="33353C"/>
          <w:kern w:val="0"/>
          <w:sz w:val="27"/>
          <w:szCs w:val="27"/>
        </w:rPr>
      </w:pP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从上面华夏幸福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roe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与年化值的对比图可以看出，在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2014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pb=5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，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PE=14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，持有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5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年到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2019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年年化值为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19%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。虽然华夏幸福这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5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年来保持着超高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roe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发展，但由于买入时估值高，导致年收益低于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roe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。</w:t>
      </w:r>
    </w:p>
    <w:p w:rsidR="00AE7CBF" w:rsidRPr="00AE7CBF" w:rsidRDefault="00AE7CBF" w:rsidP="00AE7CBF">
      <w:pPr>
        <w:widowControl/>
        <w:spacing w:before="375" w:after="375"/>
        <w:jc w:val="left"/>
        <w:rPr>
          <w:rFonts w:ascii="Helvetica" w:eastAsia="宋体" w:hAnsi="Helvetica" w:cs="Helvetica"/>
          <w:color w:val="33353C"/>
          <w:kern w:val="0"/>
          <w:sz w:val="27"/>
          <w:szCs w:val="27"/>
        </w:rPr>
      </w:pPr>
      <w:r w:rsidRPr="00AE7CBF">
        <w:rPr>
          <w:rFonts w:ascii="Helvetica" w:eastAsia="宋体" w:hAnsi="Helvetica" w:cs="Helvetica"/>
          <w:noProof/>
          <w:color w:val="33353C"/>
          <w:kern w:val="0"/>
          <w:sz w:val="27"/>
          <w:szCs w:val="27"/>
        </w:rPr>
        <w:drawing>
          <wp:inline distT="0" distB="0" distL="0" distR="0">
            <wp:extent cx="2286000" cy="2286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CBF" w:rsidRPr="00AE7CBF" w:rsidRDefault="00AE7CBF" w:rsidP="00AE7CBF">
      <w:pPr>
        <w:widowControl/>
        <w:spacing w:before="375" w:after="375"/>
        <w:jc w:val="left"/>
        <w:rPr>
          <w:rFonts w:ascii="Helvetica" w:eastAsia="宋体" w:hAnsi="Helvetica" w:cs="Helvetica"/>
          <w:color w:val="33353C"/>
          <w:kern w:val="0"/>
          <w:sz w:val="27"/>
          <w:szCs w:val="27"/>
        </w:rPr>
      </w:pP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有人会说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2014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年大盘是低点，算出的收益可能偏高。那么假设我们不是从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2014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年（发布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13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年报）当天买入，而是从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2015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年（发布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14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年报）、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2016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年、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2017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年或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2018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年买入，持有到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2019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年（发布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18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年年报）当天的收益是怎样的呢，具体见下面表格</w:t>
      </w:r>
    </w:p>
    <w:p w:rsidR="00AE7CBF" w:rsidRPr="00AE7CBF" w:rsidRDefault="00AE7CBF" w:rsidP="00AE7CBF">
      <w:pPr>
        <w:widowControl/>
        <w:spacing w:before="375" w:after="375"/>
        <w:jc w:val="left"/>
        <w:rPr>
          <w:rFonts w:ascii="Helvetica" w:eastAsia="宋体" w:hAnsi="Helvetica" w:cs="Helvetica"/>
          <w:color w:val="33353C"/>
          <w:kern w:val="0"/>
          <w:sz w:val="27"/>
          <w:szCs w:val="27"/>
        </w:rPr>
      </w:pPr>
      <w:r w:rsidRPr="00AE7CBF">
        <w:rPr>
          <w:rFonts w:ascii="Helvetica" w:eastAsia="宋体" w:hAnsi="Helvetica" w:cs="Helvetica"/>
          <w:noProof/>
          <w:color w:val="33353C"/>
          <w:kern w:val="0"/>
          <w:sz w:val="27"/>
          <w:szCs w:val="27"/>
        </w:rPr>
        <w:drawing>
          <wp:inline distT="0" distB="0" distL="0" distR="0">
            <wp:extent cx="4019550" cy="10096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CBF" w:rsidRPr="00AE7CBF" w:rsidRDefault="00AE7CBF" w:rsidP="00AE7CBF">
      <w:pPr>
        <w:widowControl/>
        <w:spacing w:before="375" w:after="375"/>
        <w:jc w:val="left"/>
        <w:rPr>
          <w:rFonts w:ascii="Helvetica" w:eastAsia="宋体" w:hAnsi="Helvetica" w:cs="Helvetica"/>
          <w:color w:val="33353C"/>
          <w:kern w:val="0"/>
          <w:sz w:val="27"/>
          <w:szCs w:val="27"/>
        </w:rPr>
      </w:pPr>
      <w:r w:rsidRPr="00AE7CBF">
        <w:rPr>
          <w:rFonts w:ascii="Helvetica" w:eastAsia="宋体" w:hAnsi="Helvetica" w:cs="Helvetica"/>
          <w:noProof/>
          <w:color w:val="33353C"/>
          <w:kern w:val="0"/>
          <w:sz w:val="27"/>
          <w:szCs w:val="27"/>
        </w:rPr>
        <w:drawing>
          <wp:inline distT="0" distB="0" distL="0" distR="0">
            <wp:extent cx="5274310" cy="29165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CBF" w:rsidRPr="00AE7CBF" w:rsidRDefault="00AE7CBF" w:rsidP="00AE7CBF">
      <w:pPr>
        <w:widowControl/>
        <w:spacing w:before="375" w:after="375"/>
        <w:jc w:val="left"/>
        <w:rPr>
          <w:rFonts w:ascii="Helvetica" w:eastAsia="宋体" w:hAnsi="Helvetica" w:cs="Helvetica"/>
          <w:color w:val="33353C"/>
          <w:kern w:val="0"/>
          <w:sz w:val="27"/>
          <w:szCs w:val="27"/>
        </w:rPr>
      </w:pP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启示：</w:t>
      </w:r>
      <w:hyperlink r:id="rId11" w:tgtFrame="_blank" w:history="1">
        <w:r w:rsidRPr="00AE7CBF">
          <w:rPr>
            <w:rFonts w:ascii="Helvetica" w:eastAsia="宋体" w:hAnsi="Helvetica" w:cs="Helvetica"/>
            <w:color w:val="0066CC"/>
            <w:kern w:val="0"/>
            <w:sz w:val="27"/>
            <w:szCs w:val="27"/>
            <w:u w:val="single"/>
          </w:rPr>
          <w:t>$</w:t>
        </w:r>
        <w:r w:rsidRPr="00AE7CBF">
          <w:rPr>
            <w:rFonts w:ascii="Helvetica" w:eastAsia="宋体" w:hAnsi="Helvetica" w:cs="Helvetica"/>
            <w:color w:val="0066CC"/>
            <w:kern w:val="0"/>
            <w:sz w:val="27"/>
            <w:szCs w:val="27"/>
            <w:u w:val="single"/>
          </w:rPr>
          <w:t>华夏幸福</w:t>
        </w:r>
        <w:r w:rsidRPr="00AE7CBF">
          <w:rPr>
            <w:rFonts w:ascii="Helvetica" w:eastAsia="宋体" w:hAnsi="Helvetica" w:cs="Helvetica"/>
            <w:color w:val="0066CC"/>
            <w:kern w:val="0"/>
            <w:sz w:val="27"/>
            <w:szCs w:val="27"/>
            <w:u w:val="single"/>
          </w:rPr>
          <w:t>(SH600340)$</w:t>
        </w:r>
      </w:hyperlink>
    </w:p>
    <w:p w:rsidR="00AE7CBF" w:rsidRPr="00AE7CBF" w:rsidRDefault="00AE7CBF" w:rsidP="00AE7CBF">
      <w:pPr>
        <w:widowControl/>
        <w:spacing w:before="375" w:after="375"/>
        <w:jc w:val="left"/>
        <w:rPr>
          <w:rFonts w:ascii="Helvetica" w:eastAsia="宋体" w:hAnsi="Helvetica" w:cs="Helvetica"/>
          <w:color w:val="33353C"/>
          <w:kern w:val="0"/>
          <w:sz w:val="27"/>
          <w:szCs w:val="27"/>
        </w:rPr>
      </w:pP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1.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回测过去，只要分红再投，从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14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年开始投，持有的收益非常不错，不同年份卖出平均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25%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的年化收益，持有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5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年的话年化收益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19%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。虽然保持高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ROE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的发展，但人们对其估值越来越低，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PE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从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14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降到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8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，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PB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从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5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降到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3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，导致收益赶不上远远赶不上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ROE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。</w:t>
      </w:r>
    </w:p>
    <w:p w:rsidR="00AE7CBF" w:rsidRPr="00AE7CBF" w:rsidRDefault="00AE7CBF" w:rsidP="00AE7CBF">
      <w:pPr>
        <w:widowControl/>
        <w:spacing w:before="375" w:after="375"/>
        <w:jc w:val="left"/>
        <w:rPr>
          <w:rFonts w:ascii="Helvetica" w:eastAsia="宋体" w:hAnsi="Helvetica" w:cs="Helvetica"/>
          <w:color w:val="33353C"/>
          <w:kern w:val="0"/>
          <w:sz w:val="27"/>
          <w:szCs w:val="27"/>
        </w:rPr>
      </w:pPr>
      <w:r w:rsidRPr="00AE7CBF">
        <w:rPr>
          <w:rFonts w:ascii="Helvetica" w:eastAsia="宋体" w:hAnsi="Helvetica" w:cs="Helvetica"/>
          <w:noProof/>
          <w:color w:val="33353C"/>
          <w:kern w:val="0"/>
          <w:sz w:val="27"/>
          <w:szCs w:val="27"/>
        </w:rPr>
        <w:drawing>
          <wp:inline distT="0" distB="0" distL="0" distR="0">
            <wp:extent cx="5274310" cy="52743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CBF" w:rsidRPr="00AE7CBF" w:rsidRDefault="00AE7CBF" w:rsidP="00AE7CBF">
      <w:pPr>
        <w:widowControl/>
        <w:spacing w:before="375" w:after="375"/>
        <w:jc w:val="left"/>
        <w:rPr>
          <w:rFonts w:ascii="Helvetica" w:eastAsia="宋体" w:hAnsi="Helvetica" w:cs="Helvetica"/>
          <w:color w:val="33353C"/>
          <w:kern w:val="0"/>
          <w:sz w:val="27"/>
          <w:szCs w:val="27"/>
        </w:rPr>
      </w:pP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2.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回测过去，从不同年份买入的话，即使是从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15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年大牛市买入，持有到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19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年总共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4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年的时间，年化收益有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8%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，好于大部分同期的股票。假如从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16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年、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17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年、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18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年买入，年化值有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8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个点以上，人们对其模式需高融资的怀疑，导致估值越来越低。</w:t>
      </w:r>
    </w:p>
    <w:p w:rsidR="00AE7CBF" w:rsidRPr="00AE7CBF" w:rsidRDefault="00AE7CBF" w:rsidP="00AE7CBF">
      <w:pPr>
        <w:widowControl/>
        <w:spacing w:before="375" w:after="375"/>
        <w:jc w:val="left"/>
        <w:rPr>
          <w:rFonts w:ascii="Helvetica" w:eastAsia="宋体" w:hAnsi="Helvetica" w:cs="Helvetica"/>
          <w:color w:val="33353C"/>
          <w:kern w:val="0"/>
          <w:sz w:val="27"/>
          <w:szCs w:val="27"/>
        </w:rPr>
      </w:pPr>
      <w:r w:rsidRPr="00AE7CBF">
        <w:rPr>
          <w:rFonts w:ascii="Helvetica" w:eastAsia="宋体" w:hAnsi="Helvetica" w:cs="Helvetica"/>
          <w:noProof/>
          <w:color w:val="33353C"/>
          <w:kern w:val="0"/>
          <w:sz w:val="27"/>
          <w:szCs w:val="27"/>
        </w:rPr>
        <w:drawing>
          <wp:inline distT="0" distB="0" distL="0" distR="0">
            <wp:extent cx="3714750" cy="27527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CBF" w:rsidRPr="00AE7CBF" w:rsidRDefault="00AE7CBF" w:rsidP="00AE7CBF">
      <w:pPr>
        <w:widowControl/>
        <w:spacing w:before="375" w:after="375"/>
        <w:jc w:val="left"/>
        <w:rPr>
          <w:rFonts w:ascii="Helvetica" w:eastAsia="宋体" w:hAnsi="Helvetica" w:cs="Helvetica"/>
          <w:color w:val="33353C"/>
          <w:kern w:val="0"/>
          <w:sz w:val="27"/>
          <w:szCs w:val="27"/>
        </w:rPr>
      </w:pP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3.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总的来说，受制于信贷政策适度收紧，房地产市场或将持续转冷，且华夏幸福的模式需要大支出，回款又难，融资的利率也较高，相对于其他房地产龙头风险较高，因而要等其估值较低时才具有投资价值。</w:t>
      </w:r>
      <w:r w:rsidRPr="00AE7CBF">
        <w:rPr>
          <w:rFonts w:ascii="Helvetica" w:eastAsia="宋体" w:hAnsi="Helvetica" w:cs="Helvetica"/>
          <w:b/>
          <w:bCs/>
          <w:color w:val="33353C"/>
          <w:kern w:val="0"/>
          <w:sz w:val="27"/>
          <w:szCs w:val="27"/>
        </w:rPr>
        <w:t>以上分析不作为投资建议！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本人公众号：</w:t>
      </w:r>
      <w:r w:rsidRPr="00AE7CBF">
        <w:rPr>
          <w:rFonts w:ascii="Helvetica" w:eastAsia="宋体" w:hAnsi="Helvetica" w:cs="Helvetica"/>
          <w:b/>
          <w:bCs/>
          <w:color w:val="33353C"/>
          <w:kern w:val="0"/>
          <w:sz w:val="27"/>
          <w:szCs w:val="27"/>
        </w:rPr>
        <w:t>胆小股析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，专注高股息低估值股票分析研究，有兴趣欢迎关注！</w:t>
      </w:r>
    </w:p>
    <w:p w:rsidR="00AE7CBF" w:rsidRPr="00AE7CBF" w:rsidRDefault="00AE7CBF" w:rsidP="00AE7CBF">
      <w:pPr>
        <w:widowControl/>
        <w:spacing w:before="375"/>
        <w:jc w:val="left"/>
        <w:rPr>
          <w:rFonts w:ascii="Helvetica" w:eastAsia="宋体" w:hAnsi="Helvetica" w:cs="Helvetica"/>
          <w:color w:val="33353C"/>
          <w:kern w:val="0"/>
          <w:sz w:val="27"/>
          <w:szCs w:val="27"/>
        </w:rPr>
      </w:pPr>
      <w:r w:rsidRPr="00AE7CBF">
        <w:rPr>
          <w:rFonts w:ascii="Helvetica" w:eastAsia="宋体" w:hAnsi="Helvetica" w:cs="Helvetica"/>
          <w:noProof/>
          <w:color w:val="33353C"/>
          <w:kern w:val="0"/>
          <w:sz w:val="27"/>
          <w:szCs w:val="27"/>
        </w:rPr>
        <w:drawing>
          <wp:inline distT="0" distB="0" distL="0" distR="0">
            <wp:extent cx="4914900" cy="36861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FED" w:rsidRDefault="00AE7CBF" w:rsidP="00AE7CBF"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br/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br/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作者：胆小投资者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br/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链接：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https://xueqiu.com/8747903072/133689299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br/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来源：雪球</w:t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br/>
      </w:r>
      <w:r w:rsidRPr="00AE7CBF">
        <w:rPr>
          <w:rFonts w:ascii="Helvetica" w:eastAsia="宋体" w:hAnsi="Helvetica" w:cs="Helvetica"/>
          <w:color w:val="33353C"/>
          <w:kern w:val="0"/>
          <w:sz w:val="27"/>
          <w:szCs w:val="27"/>
        </w:rPr>
        <w:t>著作权归作者所有。商业转载请联系作者获得授权，非商业转载请注明出处。</w:t>
      </w:r>
    </w:p>
    <w:sectPr w:rsidR="00FD2F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CBF"/>
    <w:rsid w:val="00AE7CBF"/>
    <w:rsid w:val="00FD2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A5C5CA-38DB-4A40-91C4-B184C0A26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E7CB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E7CBF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AE7CB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AE7CB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1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://xueqiu.com/S/SH600340" TargetMode="External"/><Relationship Id="rId5" Type="http://schemas.openxmlformats.org/officeDocument/2006/relationships/hyperlink" Target="http://xueqiu.com/n/%E4%BB%8A%E6%97%A5%E8%AF%9D%E9%A2%98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image" Target="media/image9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261</Words>
  <Characters>1490</Characters>
  <Application>Microsoft Office Word</Application>
  <DocSecurity>0</DocSecurity>
  <Lines>12</Lines>
  <Paragraphs>3</Paragraphs>
  <ScaleCrop>false</ScaleCrop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jun</dc:creator>
  <cp:keywords/>
  <dc:description/>
  <cp:lastModifiedBy>tian jun</cp:lastModifiedBy>
  <cp:revision>1</cp:revision>
  <dcterms:created xsi:type="dcterms:W3CDTF">2019-10-08T05:56:00Z</dcterms:created>
  <dcterms:modified xsi:type="dcterms:W3CDTF">2019-10-08T05:56:00Z</dcterms:modified>
</cp:coreProperties>
</file>