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Ariège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271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243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16 691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14 868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13 045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1 040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13.9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775 (4%)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11.1 M€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577 (3%)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9.1 M€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28 176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409.7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21 979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345.2 M€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17 034 (10%)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281.5 M€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2 076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1 497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638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23 744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22 645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21 505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242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295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10 103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6 202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4 890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(0%)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401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879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759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42 393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39 379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35 783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3 120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2 471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244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177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11 311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9 370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7 600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1 280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30 381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26 675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22 990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1 108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Ariège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286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142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Occitanie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14 959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7 361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