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Aveyron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14 868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13 045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2 112 (7%)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31.2 M€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1 603 (7%)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25.5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1 238 (7%)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21.1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28 176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409.7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21 979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345.2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17 034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281.5 M€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206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206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2 076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966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931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884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23 744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22 645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21 505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10 103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6 202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4 890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1 686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1 590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1 459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42 393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39 379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35 783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136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2 471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167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11 311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9 370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7 600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1 280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958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1 490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1 317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1 176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30 381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26 675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22 990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1 108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Aveyron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14 959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