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Bouches-du-Rhône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8 583 (47%)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7 665 (47%)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6 768 (47%)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18 322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16 369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14 299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3 547 (32%)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43.6 M€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2 803 (32%)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36.9 M€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2 196 (33%)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31.3 M€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11 004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142.0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8 653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119.6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6 755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101.6 M€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(47%)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(53%)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(53%)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6 557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6 233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5 945 (39%)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15 948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15 295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 (41%)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(40%)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(49%)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(66%)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(66%)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(66%)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3 072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1 905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1 440 (34%)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8 628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5 320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4 189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163 (48%)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130 (46%)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104 (45%)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149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15 727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14 368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13 065 (44%)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35 565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32 524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29 595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730 (45%)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532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360 (43%)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1 623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1 201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1 445 (48%)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1 222 (48%)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1 159 (50%)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2 658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2 093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1 688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6 834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5 496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4 437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453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410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346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1 048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10 353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8 887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7 457 (44%)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23 286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20 040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16 873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258 (40%)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909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4 954 (46%)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2 435 (46%)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2 435 (46%)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10 693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5 240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