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Calvados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1 775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1 616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1 432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7 793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7 025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6 132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3 977 (21%)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54.6 M€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3 060 (21%)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44.8 M€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2 333 (21%)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36.4 M€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18 897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262.6 M€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14 495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216.4 M€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11 128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180.7 M€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103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2 587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2 500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2 363 (26%)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10 120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9 722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9 190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(31%)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(39%)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(40%)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(40%)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873 (28%)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593 (28%)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476 (28%)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3 070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2 093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1 696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(29%)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(33%)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(32%)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 (34%)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 (32%)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5 718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5 377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4 934 (24%)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23 792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22 531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20 545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291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233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1 842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1 435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1 080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473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437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380 (28%)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1 780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1 620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1 365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780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617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513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6 350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5 084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4 077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142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120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619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4 922 (28%)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4 039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3 462 (27%)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17 542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14 698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12 621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158 (28%)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127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104 (27%)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Calvados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1 702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839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839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Normandie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7 571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3 736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3 736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