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Charente-Maritime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3 718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52.2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2 973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44.4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2 364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38.4 M€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2 103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4 515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4 190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2 594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2 221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