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Eure-et-Loir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898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4 939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4 328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2 233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42.4 M€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1 701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36.2 M€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1 294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31.3 M€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12 483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199.2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165.8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7 271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141.2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254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133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1 141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1 003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2 523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2 360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2 240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16 061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15 189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131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1 188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1 070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539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386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2 277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1 903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2 043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1 800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1 583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13 025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11 447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9 815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