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Finistère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2 138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1 925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1 695 (27%)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7 894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7 084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6 167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7 286 (33%)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96.1 M€ (31%)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5 692 (33%)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80.9 M€ (31%)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4 487 (34%)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68.8 M€ (31%)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21 980 (7%)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310.6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17 027 (8%)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259.7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13 314 (8%)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221.3 M€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143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523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284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3 001 (28%)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2 865 (28%)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2 718 (28%)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10 596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10 141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9 620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 (47%)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(54%)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72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(29%)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52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1 249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783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604 (26%)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4 697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2 964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2 299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(23%)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97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88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5 775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5 445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5 078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23 343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22 037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20 535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236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197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157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1 030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827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635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414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386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366 (23%)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1 936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1 723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701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564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460 (30%)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2 559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1 975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1 533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125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113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102 (27%)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373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5 546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4 690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4 185 (23%)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23 518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20 149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17 898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145 (24%)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873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706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598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1 368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679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679 (24%)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5 619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2 775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2 775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