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Haute-Vienne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2 295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38.3 M€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1 774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32.7 M€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1 402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28.6 M€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1 089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1 985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1 855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1 729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1 485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Haute-Vienne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