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Meuse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328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277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13 913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12 428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10 704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1 334 (5%)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23.0 M€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977 (5%)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18.3 M€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730 (5%)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15.1 M€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27 597 (9%)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553.7 M€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20 443 (9%)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455.4 M€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15 203 (9%)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384.8 M€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144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1 778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1 597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1 597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447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435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416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15 799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15 116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14 324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155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82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146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102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88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5 801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3 473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2 720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255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290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262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243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808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777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724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32 226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30 719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28 680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61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1 936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1 548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1 161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91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2 880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2 548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2 314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160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130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6 597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5 229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4 298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60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40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1 442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1 220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983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614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506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448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28 122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23 995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21 356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26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847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692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585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481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236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12 731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6 253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6 253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