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Oise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2 484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1 946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1 730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12 663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10 959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9 520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3 737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2 865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51.4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2 242 (11%)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44.4 M€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35 277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466.9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27 209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391.4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21 336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337.7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2 003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1 904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1 799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18 258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17 449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16 676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707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333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4 557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2 839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2 119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4 119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3 547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31 823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29 703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27 137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2 210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1 663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5 533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4 800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4 583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818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12 140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10 058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8 476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168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2 386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2 081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1 754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3 767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3 243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2 709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29 049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24 617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20 989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110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865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1 783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Hauts-de-France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19 634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9 632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