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Saint-Barthélemy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(97%)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290 (82%)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(82%)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(84%)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1 569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