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Seine-Saint-Denis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2 285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2 000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1 706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4 639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113.7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3 501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100.0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2 654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90.3 M€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1 989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1 868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1 092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9 437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8 684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7 672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2 147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1 559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3 949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Seine-Saint-Denis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3 634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1 787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1 787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