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Vaucluse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1 786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1 595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1 391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18 322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16 369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14 299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2 532 (23%)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36.0 M€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1 948 (23%)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29.9 M€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1 524 (23%)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25.6 M€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11 004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142.0 M€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8 653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119.6 M€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6 755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101.6 M€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(32%)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2 307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2 201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2 112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15 948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15 295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1 005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686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549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8 628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5 320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4 189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3 892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3 592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3 341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35 565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32 524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29 595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156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104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1 623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1 201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2 983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2 311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1 059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823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621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6 834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5 496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4 437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186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169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157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1 048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2 723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2 358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1 973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23 286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20 040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16 873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114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96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909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759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651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Vaucluse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1 412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693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693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10 693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5 240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