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Ardennes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501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13 913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12 428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10 704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1 751 (6%)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26.6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1 351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21.9 M€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1 028 (7%)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18.3 M€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27 597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553.7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20 443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455.4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15 203 (9%)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384.8 M€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64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194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1 778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1 597 (19%)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878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845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15 799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15 116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14 324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155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80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5 801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3 473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2 720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(14%)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121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20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337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255 (10%)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290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262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243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1 382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1 226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32 226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30 719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28 680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1 936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1 548 (11%)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1 161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91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2 880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2 548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2 314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313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6 597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5 229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4 298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106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1 442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1 220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983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854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678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653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28 122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23 995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21 356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34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847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692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585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Ardennes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617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298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298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Grand Est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12 731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6 253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