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Bas-Rhin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3 536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3 163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2 722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13 913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12 428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10 704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4 509 (16%)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114.5 M€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3 355 (16%)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96.3 M€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2 501 (16%)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82.0 M€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27 597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553.7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455.4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15 203 (9%)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384.8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312 (18%)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304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304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1 778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1 597 (19%)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3 646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3 476 (23%)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3 252 (23%)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15 799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15 116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155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1 487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779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607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5 801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3 473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2 720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107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(33%)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 (18%)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8 381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8 003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7 522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32 226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30 719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28 680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265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214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178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1 548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1 161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596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521 (20%)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481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2 880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2 548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2 314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6 597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5 229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4 298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163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140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1 442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1 220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983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6 864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6 073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5 410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28 122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23 995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21 356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147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123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585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Bas-Rhin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2 825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1 394 (22%)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1 394 (22%)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Grand Est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12 731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6 253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