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Côte-d'Or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1 305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1 177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1 010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5 384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4 720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4 102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2 653 (15%)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44.2 M€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1 939 (15%)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34.1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1 463 (15%)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28.5 M€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17 569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314.8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13 115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256.2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9 736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212.1 M€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60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184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102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102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413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1 479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1 417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1 355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7 806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7 472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7 154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(23%)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(41%)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(43%)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(43%)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716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447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366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3 138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2 036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1 689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 (31%)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 (30%)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 (33%)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160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3 490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3 355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3 087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16 780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16 121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14 948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71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418 (28%)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391 (28%)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366 (28%)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1 511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1 389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313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254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2 597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2 140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1 751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83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737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510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3 735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3 267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2 821 (23%)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15 548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13 717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12 078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112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102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94 (24%)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1 584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784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784 (24%)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6 738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3 332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3 332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