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Doubs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1 172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1 027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2 917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58.6 M€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2 184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48.7 M€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1 640 (17%)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41.1 M€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1 451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1 391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3 855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3 713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3 511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288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238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3 391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3 004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2 640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Doubs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1 689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832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832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