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Drôme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1 454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1 287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1 135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3 037 (9%)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49.3 M€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2 284 (9%)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40.5 M€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1 742 (9%)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34.3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2 069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3 687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3 484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3 216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2 785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2 375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