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Gard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1 999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1 776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4 176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73.4 M€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3 274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64.3 M€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2 580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44.7 M€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3 735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3 601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3 423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640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4 770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4 413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3 971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336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278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1 465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108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1 717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