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Haut-Rhin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2 551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2 262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1 948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2 629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48.6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1 947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1 400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31.3 M€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1 965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1 853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1 747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496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4 612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4 369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4 177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434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3 468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2 732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1 470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