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Haute-Marne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1 215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36.5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890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671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29.4 M€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242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242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454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Haute-Marne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