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Haute-Vienne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2 295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38.3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1 774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32.7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1 402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28.6 M€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1 985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1 855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1 485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