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Indre-et-Loire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1 667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1 468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1 292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5 546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4 939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4 328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2 483 (20%)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33.7 M€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1 902 (20%)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27.4 M€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1 428 (20%)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22.8 M€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12 483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199.2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9 525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165.8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7 271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141.2 M€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1 951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1 825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1 747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786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494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385 (29%)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1 698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(42%)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139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4 434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4 240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3 962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16 061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15 189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14 223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252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381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271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1 188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1 070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888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343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2 277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1 903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3 475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3 075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2 639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13 025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11 447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9 815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144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1 489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739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739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5 815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