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Lozère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539 (2%)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8.7 M€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390 (2%)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6.7 M€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281 (2%)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5.4 M€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238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228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225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377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230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