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Mayenne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611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514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8 975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8 035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6 940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1 984 (9%)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30.3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1 512 (8%)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23.3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1 162 (8%)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19.4 M€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22 898 (8%)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320.4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17 796 (8%)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262.4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13 756 (8%)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221.6 M€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304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970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905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12 398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11 813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11 208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103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89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96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92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80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156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5 117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3 190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2 376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79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228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2 582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2 437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2 324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30 264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28 594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27 283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138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117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1 350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1 097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127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2 982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2 721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2 502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151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2 985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2 533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2 108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485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430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367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1 944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1 659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1 490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28 669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24 138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20 885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812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681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267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7 603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3 762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3 762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