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Moselle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2 319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2 042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5 883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122.4 M€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4 361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100.6 M€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3 188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84.8 M€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2 926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2 814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2 672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865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544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444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5 008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4 731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4 347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441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358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290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1 327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1 104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915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286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203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4 953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4 135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3 481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125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