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Oise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2 484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1 946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1 730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12 663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10 959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9 520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3 737 (11%)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60.8 M€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2 865 (11%)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51.4 M€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2 242 (11%)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44.4 M€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35 277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466.9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27 209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391.4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21 336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337.7 M€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52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87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87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914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792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792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2 003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1 904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1 799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18 258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17 449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16 676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707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426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333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4 557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2 839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2 119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179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194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4 119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3 879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3 547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31 823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29 703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27 137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197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126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2 210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1 663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1 106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5 533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4 800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4 583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1 136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950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818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12 140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10 058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8 476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168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2 386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2 081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1 754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3 767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3 243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2 709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29 049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24 617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20 989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110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865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720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604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Oise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1 783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880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880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Hauts-de-France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19 634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9 632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9 632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