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Paris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7 742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7 038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6 183 (23%)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34 914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31 277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27 129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552 (2%)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10.9 M€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448 (2%)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10.2 M€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335 (2%)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9.5 M€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28 925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552.5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21 834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472.8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16 514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414.4 M€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116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113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113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944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893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15 866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14 930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14 053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51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5 269 (38%)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3 293 (38%)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2 513 (38%)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13 780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8 561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6 655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398 (52%)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344 (52%)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299 (53%)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772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661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568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1 279 (69%)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241 (36%)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240 (37%)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1 849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667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656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31 433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29 304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27 111 (32%)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99 772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92 377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84 022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305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1 857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1 276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857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5 690 (41%)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4 972 (40%)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4 347 (40%)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13 755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12 296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10 797 (28%)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1 403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1 224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994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9 493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7 704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6 490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200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172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161 (23%)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1 004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704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24 171 (35%)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20 711 (35%)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19 033 (36%)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68 785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59 468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53 420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269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224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190 (24%)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1 128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932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785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9 209 (38%)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4 485 (37%)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4 485 (37%)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24 479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11 979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11 979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