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Pyrénées-Atlantiques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1 874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1 659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1 399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15 336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13 546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11 609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2 597 (8%)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32.2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1 985 (8%)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26.3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1 538 (8%)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22.2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31 495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473.9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24 503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396.4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19 051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340.8 M€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(27%)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269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256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256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1 890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2 558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2 432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2 300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19 475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18 349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(40%)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(40%)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1 435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633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8 789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5 183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3 903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548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4 479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4 084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3 675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39 914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36 997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33 737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208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1 877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1 374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281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2 787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2 640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6 585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4 420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90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1 148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3 352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2 933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2 553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30 764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26 660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22 823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176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153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1 460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1 239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1 056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Pyrénées-Atlantiques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1 631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805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14 317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