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Seine-Maritime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2 854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2 568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2 264 (37%)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7 025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6 054 (32%)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81.1 M€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4 657 (32%)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66.9 M€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3 582 (32%)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56.2 M€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18 897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262.6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14 495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216.4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11 128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180.7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3 215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3 080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2 910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9 190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1 002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659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519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3 070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8 623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8 132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7 445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23 792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22 531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815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629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497 (46%)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782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698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605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3 273 (52%)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2 566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2 067 (51%)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6 350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5 084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4 077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358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283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6 024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5 056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4 323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14 698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12 621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3 529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1 738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1 738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