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Val-de-Marne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2 634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2 307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1 998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34 914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31 277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27 129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2 038 (7%)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37.3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1 498 (7%)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31.2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1 136 (7%)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27.0 M€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28 925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552.5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21 834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472.8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16 514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414.4 M€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116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113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1 869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1 749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1 633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15 866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14 930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14 053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1 150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734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582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13 780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8 561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6 655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772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661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568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1 849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656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7 972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7 306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6 744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99 772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92 377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84 022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1 857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1 276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857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962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835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754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13 755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12 296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10 797 (28%)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1 323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1 079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900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9 493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7 704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6 490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139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117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1 004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5 283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4 584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4 172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68 785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59 468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53 420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1 128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932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785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2 642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1 291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1 291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24 479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11 979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11 979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