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Vienne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1 139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2 611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38.0 M€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2 019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30.3 M€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1 555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25.5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2 854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2 418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2 095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1 795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1 289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