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Ain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1 928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1 714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1 495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23 595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21 142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18 494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3 023 (9%)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54.3 M€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2 276 (9%)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42.1 M€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1 717 (9%)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35.6 M€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35 302 (12%)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593.5 M€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26 769 (12%)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484.8 M€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20 060 (12%)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402.8 M€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157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123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123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48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48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1 316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833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833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1 733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1 616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25 017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24 031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23 046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193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145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102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88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88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66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70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63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63 (20%)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662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259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10 232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6 269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4 631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124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69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45 (17%)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877 (36%)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446 (44%)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269 (38%)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627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498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389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44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41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645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568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544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3 886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3 601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3 303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57 538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53 741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49 399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56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1 991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1 404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914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260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197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6 085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5 553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4 703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439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349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267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8 115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6 629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5 258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91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80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1 300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1 111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889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3 434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2 960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2 181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57 349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49 341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39 113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112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96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81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1 651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1 365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1 159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490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239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239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Auvergne-Rhône-Alpes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14 408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7 125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7 125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