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Ardennes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13 913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12 428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10 704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1 751 (6%)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26.6 M€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1 351 (7%)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21.9 M€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1 028 (7%)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18.3 M€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27 597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553.7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455.4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15 203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384.8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194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1 778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907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15 799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15 116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5 801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3 473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2 720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1 382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1 304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1 226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32 226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28 680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1 548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1 161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2 880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2 548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2 314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6 597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5 229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4 298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1 442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854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653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28 122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23 995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21 356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692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585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Ardennes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298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12 731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