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Bas-Rhin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3 536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3 163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2 722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4 509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114.5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3 355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96.3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2 501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82.0 M€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304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3 646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3 476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3 252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1 487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607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8 381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8 003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7 522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481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6 864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6 073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5 410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2 825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1 394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