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Charente-Maritime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1 908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1 699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1 506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15 336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13 546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11 609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3 718 (12%)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52.2 M€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2 973 (12%)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44.4 M€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2 364 (12%)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38.4 M€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31 495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473.9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24 503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396.4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19 051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340.8 M€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77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1 890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2 103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2 010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1 901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19 475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18 349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941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440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8 789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5 183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3 903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137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130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128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548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4 515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4 190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3 780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39 914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36 997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33 737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151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102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1 877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1 374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2 787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2 640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6 585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4 420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134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123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1 148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2 991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2 594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2 221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30 764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26 660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22 823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164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137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1 460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1 239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1 056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Charente-Maritime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1 357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14 317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