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Charente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787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677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572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15 336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13 546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11 609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2 227 (7%)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32.5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1 710 (7%)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27.1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1 319 (7%)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23.1 M€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31 495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473.9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24 503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396.4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19 051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340.8 M€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1 890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1 302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1 302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1 173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1 106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1 032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20 443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19 475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18 349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(56%)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(56%)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81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62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211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8 789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5 183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3 903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562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548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2 200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2 076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1 857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39 914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36 997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33 737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1 877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1 374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965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139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3 147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2 787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2 640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323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298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6 585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5 315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4 420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1 148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976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1 522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1 316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1 111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30 764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26 660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22 823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83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1 460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1 239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1 056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744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368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14 317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7 051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7 051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