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Corrèze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1 631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24.4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1 274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20.7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957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17.4 M€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1 217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1 104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