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Corse-du-Sud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438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405 (30%)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343 (28%)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1 413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1 337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1 228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(34%)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1.8 M€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146 (34%)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1.5 M€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118 (35%)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1.3 M€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528 (0%)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5.5 M€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424 (0%)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4.7 M€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339 (0%)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4.1 M€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421 (46%)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407 (46%)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392 (46%)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908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851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(40%)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(40%)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300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217 (43%)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167 (41%)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676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(62%)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(64%)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(67%)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872 (49%)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796 (49%)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743 (50%)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1 782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1 617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1 483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 (46%)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 (46%)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(53%)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98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90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(53%)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(50%)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213 (48%)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187 (49%)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150 (45%)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443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332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(41%)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(42%)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(40%)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679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620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511 (56%)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1 106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911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(51%)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 (53%)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Corse-du-Sud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258 (49%)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128 (50%)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128 (50%)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Corse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523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257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257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