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Eure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1 052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7 025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3 397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51.4 M€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2 602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43.4 M€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2 011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37.0 M€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18 897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262.6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14 495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216.4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11 128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180.7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1 791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1 719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1 622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9 190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293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3 070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3 673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3 482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3 165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23 792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22 531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157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723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6 350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5 084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4 077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2 371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2 025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1 760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14 698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12 621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