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Haute-Corse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975 (69%)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932 (70%)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885 (72%)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1 337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1 228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349 (66%)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3.8 M€ (68%)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278 (66%)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3.2 M€ (68%)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(65%)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2.8 M€ (68%)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528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5.5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424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4.7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4.1 M€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487 (54%)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474 (54%)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459 (54%)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(64%)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(60%)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(60%)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376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283 (57%)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244 (59%)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910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821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740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1 617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1 483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(54%)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(54%)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230 (52%)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198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(55%)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(59%)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(58%)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(60%)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542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400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265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257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