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Haute-Garonne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5 339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4 791 (32%)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4 285 (33%)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4 258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58.5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3 339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48.5 M€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2 549 (15%)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40.9 M€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(58%)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(63%)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(63%)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4 831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4 609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4 355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100 (41%)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(39%)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(48%)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(60%)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(60%)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2 305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1 290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956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10 657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9 877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9 056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1 169 (37%)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1 066 (38%)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944 (38%)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2 315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1 987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1 643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10 704 (35%)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9 613 (36%)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8 288 (36%)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424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357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292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4 358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2 138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2 138 (29%)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