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Haute-Marne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1 215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36.5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890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671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29.4 M€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242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683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