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Hautes-Alpes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Hautes-Alpes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371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345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285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18 322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16 369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14 299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Hautes-Alpes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622 (6%)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9.6 M€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472 (5%)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8.0 M€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356 (5%)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6.6 M€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11 004 (4%)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142.0 M€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8 653 (4%)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119.6 M€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6 755 (4%)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101.6 M€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Hautes-Alpes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Hautes-Alpes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66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330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217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217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Hautes-Alpes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547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522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503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16 693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15 948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15 295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Hautes-Alpes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Hautes-Alpes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181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149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102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Hautes-Alpes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45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Hautes-Alpes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Hautes-Alpes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239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158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148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8 628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5 320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4 189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Hautes-Alpes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99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Hautes-Alpes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232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Hautes-Alpes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26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297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Hautes-Alpes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781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710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647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35 565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32 524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29 595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Hautes-Alpes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1 623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1 201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833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Hautes-Alpes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36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2 983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2 520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2 311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Hautes-Alpes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140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120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92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6 834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5 496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4 437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Hautes-Alpes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31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1 327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1 193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1 048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Hautes-Alpes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564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514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453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23 286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20 040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16 873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Hautes-Alpes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40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909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759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651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Hautes-Alpes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180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87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87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Provence-Alpes-Côte d'Azur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10 693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5 240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5 240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