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Indre-et-Loire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1 667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1 468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1 292 (30%)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5 546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4 939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4 328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2 483 (20%)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33.7 M€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1 902 (20%)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27.4 M€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1 428 (20%)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22.8 M€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12 483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199.2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9 525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165.8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7 271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141.2 M€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1 043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613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613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1 951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1 825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1 747 (27%)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7 236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6 885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6 549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(50%)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786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494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385 (29%)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2 591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1 698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(42%)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 (33%)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(31%)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139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4 434 (28%)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4 240 (28%)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3 962 (28%)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16 061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15 189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14 223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252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427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381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271 (31%)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1 188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1 070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888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464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343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2 783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2 277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1 903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102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3 475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3 075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2 639 (27%)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13 025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11 447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9 815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144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116 (28%)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96 (28%)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Indre-et-Loire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1 489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739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739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5 815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2 874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2 874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