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La Réunion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1 559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1 167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1 559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1 353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1 167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2 297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10.7 M€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1 742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8.6 M€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1 205 (100%)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6.6 M€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2 297 (1%)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10.7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1 742 (1%)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8.6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1 205 (1%)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6.6 M€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2 179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2 038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2 179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8 654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7 556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6 342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7 556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6 342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220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479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479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2 213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1 747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1 387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2 216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2 054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1 922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2 054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1 922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 Réunion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4 812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2 366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2 366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La Réunion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4 812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2 366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2 366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