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Loiret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1 394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1 231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1 071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5 546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4 939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4 328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3 189 (26%)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54.2 M€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2 401 (25%)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45.1 M€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1 827 (25%)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38.8 M€ (27%)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12 483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199.2 M€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9 525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165.8 M€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7 271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141.2 M€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(26%)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195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123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123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1 043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613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613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1 788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1 734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1 643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7 236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6 885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6 549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563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360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285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2 591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1 698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139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4 107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3 882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3 592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16 061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15 189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14 223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217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148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308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281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243 (27%)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1 188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1 070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888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668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562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432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2 783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2 277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1 903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131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90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3 783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3 323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2 838 (29%)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13 025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11 447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9 815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108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85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1 900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936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936 (33%)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5 815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2 874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2 874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