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Manche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1 315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1 187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1 032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7 793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7 025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6 132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3 400 (18%)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45.1 M€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2 603 (18%)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36.6 M€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2 013 (18%)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30.5 M€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18 897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262.6 M€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14 495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216.4 M€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11 128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180.7 M€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78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57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57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466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312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1 729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1 658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1 565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10 120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9 722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9 190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101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46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497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365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299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3 070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2 093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1 696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135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97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197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3 887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3 726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3 331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23 792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22 531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20 545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252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117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1 842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1 435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1 080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195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153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1 780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1 620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1 365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755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614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460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6 350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5 084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4 077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81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874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739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619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2 822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2 373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2 059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17 542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14 698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12 621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106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87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76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467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389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862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428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428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7 571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3 736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3 736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